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9D" w:rsidRPr="007314EC" w:rsidRDefault="002A7E9D" w:rsidP="00613DF1">
      <w:pPr>
        <w:rPr>
          <w:b/>
          <w:caps/>
          <w:sz w:val="22"/>
          <w:szCs w:val="22"/>
          <w:lang w:val="en-US"/>
        </w:rPr>
      </w:pPr>
    </w:p>
    <w:p w:rsidR="00AC728A" w:rsidRPr="007314EC" w:rsidRDefault="00AC728A" w:rsidP="007314EC">
      <w:pPr>
        <w:jc w:val="center"/>
        <w:rPr>
          <w:b/>
          <w:sz w:val="22"/>
          <w:szCs w:val="22"/>
          <w:lang w:val="en-US"/>
        </w:rPr>
      </w:pPr>
      <w:r w:rsidRPr="007314EC">
        <w:rPr>
          <w:b/>
          <w:sz w:val="22"/>
          <w:szCs w:val="22"/>
          <w:lang w:val="en-US"/>
        </w:rPr>
        <w:t>INVITATION FOR EXPRESSION OF INTEREST TO PARTICIPATE IN EATRIS-BULGARIA</w:t>
      </w:r>
    </w:p>
    <w:p w:rsidR="00AC728A" w:rsidRPr="007314EC" w:rsidRDefault="004B000F" w:rsidP="00AC728A">
      <w:pPr>
        <w:jc w:val="both"/>
        <w:rPr>
          <w:sz w:val="22"/>
          <w:szCs w:val="22"/>
          <w:lang w:val="en-US"/>
        </w:rPr>
      </w:pPr>
      <w:r w:rsidRPr="007314EC">
        <w:rPr>
          <w:sz w:val="22"/>
          <w:szCs w:val="22"/>
          <w:lang w:val="en-US"/>
        </w:rPr>
        <w:t xml:space="preserve">The Bulgarian National Node of EATRIS-ERIC invites the scientific community to state their expression of interest to affiliate to </w:t>
      </w:r>
      <w:r w:rsidR="007314EC" w:rsidRPr="007314EC">
        <w:rPr>
          <w:sz w:val="22"/>
          <w:szCs w:val="22"/>
          <w:lang w:val="en-US"/>
        </w:rPr>
        <w:t xml:space="preserve">EATRIS-Bulgaria. To </w:t>
      </w:r>
      <w:r w:rsidR="00AC728A" w:rsidRPr="007314EC">
        <w:rPr>
          <w:sz w:val="22"/>
          <w:szCs w:val="22"/>
          <w:lang w:val="en-US"/>
        </w:rPr>
        <w:t xml:space="preserve">achieve maximum representation of the Bulgarian </w:t>
      </w:r>
      <w:r w:rsidR="007314EC" w:rsidRPr="007314EC">
        <w:rPr>
          <w:sz w:val="22"/>
          <w:szCs w:val="22"/>
          <w:lang w:val="en-US"/>
        </w:rPr>
        <w:t>researchers</w:t>
      </w:r>
      <w:r w:rsidR="00AC728A" w:rsidRPr="007314EC">
        <w:rPr>
          <w:sz w:val="22"/>
          <w:szCs w:val="22"/>
          <w:lang w:val="en-US"/>
        </w:rPr>
        <w:t xml:space="preserve"> by fostering the interaction with </w:t>
      </w:r>
      <w:r w:rsidR="00AC728A" w:rsidRPr="007314EC">
        <w:rPr>
          <w:sz w:val="22"/>
          <w:szCs w:val="22"/>
        </w:rPr>
        <w:t>EATRIS-ERIC</w:t>
      </w:r>
      <w:r w:rsidR="00AC728A" w:rsidRPr="007314EC">
        <w:rPr>
          <w:sz w:val="22"/>
          <w:szCs w:val="22"/>
          <w:lang w:val="en-US"/>
        </w:rPr>
        <w:t>,</w:t>
      </w:r>
      <w:r w:rsidR="00AC728A" w:rsidRPr="007314EC">
        <w:rPr>
          <w:sz w:val="22"/>
          <w:szCs w:val="22"/>
        </w:rPr>
        <w:t xml:space="preserve"> the national representation invites all institutions </w:t>
      </w:r>
      <w:r w:rsidR="00AC728A" w:rsidRPr="007314EC">
        <w:rPr>
          <w:sz w:val="22"/>
          <w:szCs w:val="22"/>
          <w:lang w:val="en-US"/>
        </w:rPr>
        <w:t xml:space="preserve">and stakeholders </w:t>
      </w:r>
      <w:r w:rsidRPr="007314EC">
        <w:rPr>
          <w:sz w:val="22"/>
          <w:szCs w:val="22"/>
          <w:lang w:val="en-US"/>
        </w:rPr>
        <w:t xml:space="preserve">in the field of translational medicine </w:t>
      </w:r>
      <w:r w:rsidR="00AC728A" w:rsidRPr="007314EC">
        <w:rPr>
          <w:sz w:val="22"/>
          <w:szCs w:val="22"/>
        </w:rPr>
        <w:t xml:space="preserve">to declare their interest </w:t>
      </w:r>
      <w:r w:rsidR="007314EC">
        <w:rPr>
          <w:sz w:val="22"/>
          <w:szCs w:val="22"/>
        </w:rPr>
        <w:t>to</w:t>
      </w:r>
      <w:r w:rsidR="00AC728A" w:rsidRPr="007314EC">
        <w:rPr>
          <w:sz w:val="22"/>
          <w:szCs w:val="22"/>
        </w:rPr>
        <w:t xml:space="preserve"> the biomedical community </w:t>
      </w:r>
      <w:r w:rsidR="00AC728A" w:rsidRPr="007314EC">
        <w:rPr>
          <w:sz w:val="22"/>
          <w:szCs w:val="22"/>
          <w:lang w:val="en-US"/>
        </w:rPr>
        <w:t xml:space="preserve">of </w:t>
      </w:r>
      <w:r w:rsidR="007314EC" w:rsidRPr="007314EC">
        <w:rPr>
          <w:b/>
          <w:sz w:val="22"/>
          <w:szCs w:val="22"/>
        </w:rPr>
        <w:t>EATRIS-</w:t>
      </w:r>
      <w:r w:rsidR="00AC728A" w:rsidRPr="007314EC">
        <w:rPr>
          <w:b/>
          <w:sz w:val="22"/>
          <w:szCs w:val="22"/>
        </w:rPr>
        <w:t>Bulgaria</w:t>
      </w:r>
      <w:r w:rsidR="00AC728A" w:rsidRPr="007314EC">
        <w:rPr>
          <w:b/>
          <w:sz w:val="22"/>
          <w:szCs w:val="22"/>
          <w:lang w:val="en-US"/>
        </w:rPr>
        <w:t xml:space="preserve">. </w:t>
      </w:r>
      <w:r w:rsidR="00AC728A" w:rsidRPr="007314EC">
        <w:rPr>
          <w:sz w:val="22"/>
          <w:szCs w:val="22"/>
          <w:lang w:val="en-US"/>
        </w:rPr>
        <w:t>The formation of the community will stimulate through active collaboration and exchange the development of translational medicine in Bulgaria, will allow to optimize permanent and regulated access to high-tech research and expertise for the development of innovative biotechnological products with application in medicine, European legal, ethica</w:t>
      </w:r>
      <w:r w:rsidRPr="007314EC">
        <w:rPr>
          <w:sz w:val="22"/>
          <w:szCs w:val="22"/>
          <w:lang w:val="en-US"/>
        </w:rPr>
        <w:t>l and regulatory information,</w:t>
      </w:r>
      <w:r w:rsidR="00AC728A" w:rsidRPr="007314EC">
        <w:rPr>
          <w:sz w:val="22"/>
          <w:szCs w:val="22"/>
          <w:lang w:val="en-US"/>
        </w:rPr>
        <w:t xml:space="preserve"> analysis and design of preclinical and clinical studies, business plans and plans for the implementation of infrastructure projects in this area, rapid and secure exchange of partners for project participation in Horizon Europe etc. Institutions and teams that have </w:t>
      </w:r>
      <w:r w:rsidRPr="007314EC">
        <w:rPr>
          <w:sz w:val="22"/>
          <w:szCs w:val="22"/>
          <w:lang w:val="en-US"/>
        </w:rPr>
        <w:t>expressed their interest will receive</w:t>
      </w:r>
      <w:r w:rsidR="00AC728A" w:rsidRPr="007314EC">
        <w:rPr>
          <w:sz w:val="22"/>
          <w:szCs w:val="22"/>
          <w:lang w:val="en-US"/>
        </w:rPr>
        <w:t xml:space="preserve"> guidance and comprehensive support in the process of joining the Pan-European Consortium and signing bilateral agreements.</w:t>
      </w:r>
    </w:p>
    <w:p w:rsidR="004B000F" w:rsidRPr="007314EC" w:rsidRDefault="004B000F" w:rsidP="004B000F">
      <w:pPr>
        <w:jc w:val="both"/>
        <w:rPr>
          <w:sz w:val="22"/>
          <w:szCs w:val="22"/>
          <w:lang w:val="en-US"/>
        </w:rPr>
      </w:pPr>
      <w:r w:rsidRPr="007314EC">
        <w:rPr>
          <w:sz w:val="22"/>
          <w:szCs w:val="22"/>
          <w:lang w:val="en-US"/>
        </w:rPr>
        <w:t xml:space="preserve">The status of Bulgaria as a full member of the European Consortium was formalized with the decision of the Board of Governors and the Executive Board of EATRIS-ERIC officially announced on July 9, 2019. The membership of Bulgaria entitles to its representatives in the EATRIS-ERIC Board of Governors and Board of National Directors voting rights by defining strategies and policies in the field of translational medicine. The Bulgarian scientific community is given the opportunity for full access to product platforms, scientific and technological expertise and services, participation in pan-European projects and public-private partnerships, etc. </w:t>
      </w:r>
    </w:p>
    <w:p w:rsidR="00AC728A" w:rsidRDefault="00AC728A" w:rsidP="00AC728A">
      <w:pPr>
        <w:jc w:val="both"/>
        <w:rPr>
          <w:sz w:val="22"/>
          <w:szCs w:val="22"/>
          <w:lang w:val="en-US"/>
        </w:rPr>
      </w:pPr>
      <w:r w:rsidRPr="007314EC">
        <w:rPr>
          <w:sz w:val="22"/>
          <w:szCs w:val="22"/>
          <w:lang w:val="en-US"/>
        </w:rPr>
        <w:t>Join EATRIS-Bulgaria to create together the ecosystem we need to boost biomedical research and innovation!</w:t>
      </w:r>
    </w:p>
    <w:p w:rsidR="00164FCD" w:rsidRDefault="00164FCD" w:rsidP="00AC728A">
      <w:pPr>
        <w:jc w:val="both"/>
        <w:rPr>
          <w:sz w:val="22"/>
          <w:szCs w:val="22"/>
          <w:lang w:val="en-US"/>
        </w:rPr>
      </w:pPr>
      <w:r>
        <w:rPr>
          <w:sz w:val="22"/>
          <w:szCs w:val="22"/>
          <w:lang w:val="en-US"/>
        </w:rPr>
        <w:t xml:space="preserve">More about EATRIS-Bulgaria at </w:t>
      </w:r>
      <w:hyperlink r:id="rId6" w:anchor="content" w:history="1">
        <w:r w:rsidRPr="007314EC">
          <w:rPr>
            <w:color w:val="0000FF"/>
            <w:sz w:val="22"/>
            <w:szCs w:val="22"/>
            <w:u w:val="single"/>
          </w:rPr>
          <w:t>https://eatris.eu/insights/?country=12773#content</w:t>
        </w:r>
      </w:hyperlink>
      <w:r w:rsidRPr="007314EC">
        <w:rPr>
          <w:sz w:val="22"/>
          <w:szCs w:val="22"/>
          <w:lang w:val="en-US"/>
        </w:rPr>
        <w:t xml:space="preserve"> </w:t>
      </w:r>
    </w:p>
    <w:p w:rsidR="00164FCD" w:rsidRPr="007314EC" w:rsidRDefault="00164FCD" w:rsidP="00AC728A">
      <w:pPr>
        <w:jc w:val="both"/>
        <w:rPr>
          <w:sz w:val="22"/>
          <w:szCs w:val="22"/>
          <w:lang w:val="en-US"/>
        </w:rPr>
      </w:pPr>
    </w:p>
    <w:p w:rsidR="004B000F" w:rsidRPr="007314EC" w:rsidRDefault="004B000F" w:rsidP="00AC728A">
      <w:pPr>
        <w:jc w:val="both"/>
        <w:rPr>
          <w:sz w:val="22"/>
          <w:szCs w:val="22"/>
          <w:lang w:val="en-US"/>
        </w:rPr>
      </w:pPr>
      <w:r w:rsidRPr="007314EC">
        <w:rPr>
          <w:sz w:val="22"/>
          <w:szCs w:val="22"/>
          <w:lang w:val="en-US"/>
        </w:rPr>
        <w:t>Expression of Interest to affiliate EATRIS-Bulgaria can be proceeded by filling-out the attached form.</w:t>
      </w:r>
    </w:p>
    <w:p w:rsidR="004B000F" w:rsidRPr="007314EC" w:rsidRDefault="00AC728A" w:rsidP="00AC728A">
      <w:pPr>
        <w:jc w:val="both"/>
        <w:rPr>
          <w:sz w:val="22"/>
          <w:szCs w:val="22"/>
          <w:lang w:val="en-US"/>
        </w:rPr>
      </w:pPr>
      <w:r w:rsidRPr="007314EC">
        <w:rPr>
          <w:sz w:val="22"/>
          <w:szCs w:val="22"/>
          <w:lang w:val="en-US"/>
        </w:rPr>
        <w:t>Please address the form as well as other questions you might have to:</w:t>
      </w:r>
    </w:p>
    <w:p w:rsidR="00AC728A" w:rsidRPr="007314EC" w:rsidRDefault="00AC728A" w:rsidP="007314EC">
      <w:pPr>
        <w:spacing w:line="240" w:lineRule="auto"/>
        <w:jc w:val="both"/>
        <w:rPr>
          <w:i/>
          <w:sz w:val="22"/>
          <w:szCs w:val="22"/>
          <w:lang w:val="en-US"/>
        </w:rPr>
      </w:pPr>
      <w:r w:rsidRPr="007314EC">
        <w:rPr>
          <w:i/>
          <w:sz w:val="22"/>
          <w:szCs w:val="22"/>
          <w:lang w:val="en-US"/>
        </w:rPr>
        <w:t xml:space="preserve">Prof. </w:t>
      </w:r>
      <w:proofErr w:type="spellStart"/>
      <w:r w:rsidRPr="007314EC">
        <w:rPr>
          <w:i/>
          <w:sz w:val="22"/>
          <w:szCs w:val="22"/>
          <w:lang w:val="en-US"/>
        </w:rPr>
        <w:t>Rossitza</w:t>
      </w:r>
      <w:proofErr w:type="spellEnd"/>
      <w:r w:rsidRPr="007314EC">
        <w:rPr>
          <w:i/>
          <w:sz w:val="22"/>
          <w:szCs w:val="22"/>
          <w:lang w:val="en-US"/>
        </w:rPr>
        <w:t xml:space="preserve"> </w:t>
      </w:r>
      <w:proofErr w:type="spellStart"/>
      <w:r w:rsidRPr="007314EC">
        <w:rPr>
          <w:i/>
          <w:sz w:val="22"/>
          <w:szCs w:val="22"/>
          <w:lang w:val="en-US"/>
        </w:rPr>
        <w:t>Konakchieva</w:t>
      </w:r>
      <w:proofErr w:type="spellEnd"/>
      <w:r w:rsidRPr="007314EC">
        <w:rPr>
          <w:i/>
          <w:sz w:val="22"/>
          <w:szCs w:val="22"/>
          <w:lang w:val="en-US"/>
        </w:rPr>
        <w:t xml:space="preserve">, </w:t>
      </w:r>
    </w:p>
    <w:p w:rsidR="00AC728A" w:rsidRPr="007314EC" w:rsidRDefault="00AC728A" w:rsidP="007314EC">
      <w:pPr>
        <w:spacing w:line="240" w:lineRule="auto"/>
        <w:jc w:val="both"/>
        <w:rPr>
          <w:i/>
          <w:sz w:val="22"/>
          <w:szCs w:val="22"/>
          <w:lang w:val="en-US"/>
        </w:rPr>
      </w:pPr>
      <w:r w:rsidRPr="007314EC">
        <w:rPr>
          <w:i/>
          <w:sz w:val="22"/>
          <w:szCs w:val="22"/>
          <w:lang w:val="en-US"/>
        </w:rPr>
        <w:t>National Director, EATRIS-Bulgaria</w:t>
      </w:r>
    </w:p>
    <w:p w:rsidR="00AC728A" w:rsidRPr="007314EC" w:rsidRDefault="00AC728A" w:rsidP="007314EC">
      <w:pPr>
        <w:spacing w:line="240" w:lineRule="auto"/>
        <w:jc w:val="both"/>
        <w:rPr>
          <w:i/>
          <w:sz w:val="22"/>
          <w:szCs w:val="22"/>
          <w:lang w:val="en-US"/>
        </w:rPr>
      </w:pPr>
      <w:r w:rsidRPr="007314EC">
        <w:rPr>
          <w:i/>
          <w:sz w:val="22"/>
          <w:szCs w:val="22"/>
          <w:lang w:val="en-US"/>
        </w:rPr>
        <w:t xml:space="preserve">Faculty of Biology, Sofia University </w:t>
      </w:r>
    </w:p>
    <w:p w:rsidR="00AC728A" w:rsidRPr="007314EC" w:rsidRDefault="00AC728A" w:rsidP="007314EC">
      <w:pPr>
        <w:spacing w:line="240" w:lineRule="auto"/>
        <w:jc w:val="both"/>
        <w:rPr>
          <w:i/>
          <w:sz w:val="22"/>
          <w:szCs w:val="22"/>
          <w:lang w:val="en-US"/>
        </w:rPr>
      </w:pPr>
      <w:r w:rsidRPr="007314EC">
        <w:rPr>
          <w:i/>
          <w:sz w:val="22"/>
          <w:szCs w:val="22"/>
          <w:lang w:val="en-US"/>
        </w:rPr>
        <w:t xml:space="preserve">8, Dragan </w:t>
      </w:r>
      <w:proofErr w:type="spellStart"/>
      <w:r w:rsidRPr="007314EC">
        <w:rPr>
          <w:i/>
          <w:sz w:val="22"/>
          <w:szCs w:val="22"/>
          <w:lang w:val="en-US"/>
        </w:rPr>
        <w:t>Tsankov</w:t>
      </w:r>
      <w:proofErr w:type="spellEnd"/>
      <w:r w:rsidRPr="007314EC">
        <w:rPr>
          <w:i/>
          <w:sz w:val="22"/>
          <w:szCs w:val="22"/>
          <w:lang w:val="en-US"/>
        </w:rPr>
        <w:t xml:space="preserve"> Blvd, 1164 Sofia, Bulgaria</w:t>
      </w:r>
    </w:p>
    <w:p w:rsidR="00AC728A" w:rsidRPr="007314EC" w:rsidRDefault="00AC728A" w:rsidP="007314EC">
      <w:pPr>
        <w:spacing w:line="240" w:lineRule="auto"/>
        <w:jc w:val="both"/>
        <w:rPr>
          <w:rStyle w:val="Hyperlink"/>
          <w:i/>
          <w:sz w:val="22"/>
          <w:szCs w:val="22"/>
          <w:lang w:val="en-US"/>
        </w:rPr>
      </w:pPr>
      <w:r w:rsidRPr="007314EC">
        <w:rPr>
          <w:i/>
          <w:sz w:val="22"/>
          <w:szCs w:val="22"/>
          <w:lang w:val="en-US"/>
        </w:rPr>
        <w:lastRenderedPageBreak/>
        <w:t xml:space="preserve">Tel: +359 2 8167291; E-mail: </w:t>
      </w:r>
      <w:hyperlink r:id="rId7" w:history="1">
        <w:r w:rsidRPr="007314EC">
          <w:rPr>
            <w:rStyle w:val="Hyperlink"/>
            <w:i/>
            <w:sz w:val="22"/>
            <w:szCs w:val="22"/>
            <w:lang w:val="en-US"/>
          </w:rPr>
          <w:t>r.konakchieva@biofac.uni-sofia.bg</w:t>
        </w:r>
      </w:hyperlink>
    </w:p>
    <w:p w:rsidR="00AC728A" w:rsidRPr="007314EC" w:rsidRDefault="00AC728A" w:rsidP="007314EC">
      <w:pPr>
        <w:spacing w:line="240" w:lineRule="auto"/>
        <w:rPr>
          <w:b/>
          <w:caps/>
          <w:sz w:val="22"/>
          <w:szCs w:val="22"/>
          <w:lang w:val="en-US"/>
        </w:rPr>
      </w:pPr>
    </w:p>
    <w:p w:rsidR="004B000F" w:rsidRPr="007314EC" w:rsidRDefault="004B000F" w:rsidP="004B000F">
      <w:pPr>
        <w:jc w:val="both"/>
        <w:rPr>
          <w:i/>
          <w:color w:val="1F4E79" w:themeColor="accent1" w:themeShade="80"/>
          <w:sz w:val="22"/>
          <w:szCs w:val="22"/>
          <w:lang w:val="en-US"/>
        </w:rPr>
      </w:pPr>
      <w:bookmarkStart w:id="0" w:name="_GoBack"/>
      <w:bookmarkEnd w:id="0"/>
      <w:r w:rsidRPr="007314EC">
        <w:rPr>
          <w:i/>
          <w:color w:val="1F4E79" w:themeColor="accent1" w:themeShade="80"/>
          <w:sz w:val="22"/>
          <w:szCs w:val="22"/>
          <w:lang w:val="en-US"/>
        </w:rPr>
        <w:t>EATRIS framework.pdf</w:t>
      </w:r>
    </w:p>
    <w:p w:rsidR="004B000F" w:rsidRPr="007314EC" w:rsidRDefault="004B000F" w:rsidP="004B000F">
      <w:pPr>
        <w:jc w:val="both"/>
        <w:rPr>
          <w:i/>
          <w:sz w:val="22"/>
          <w:szCs w:val="22"/>
          <w:lang w:val="en-US"/>
        </w:rPr>
      </w:pPr>
      <w:proofErr w:type="spellStart"/>
      <w:r w:rsidRPr="007314EC">
        <w:rPr>
          <w:i/>
          <w:color w:val="1F4E79" w:themeColor="accent1" w:themeShade="80"/>
          <w:sz w:val="22"/>
          <w:szCs w:val="22"/>
          <w:lang w:val="en-US"/>
        </w:rPr>
        <w:t>EoI</w:t>
      </w:r>
      <w:proofErr w:type="spellEnd"/>
      <w:r w:rsidRPr="007314EC">
        <w:rPr>
          <w:i/>
          <w:color w:val="1F4E79" w:themeColor="accent1" w:themeShade="80"/>
          <w:sz w:val="22"/>
          <w:szCs w:val="22"/>
          <w:lang w:val="en-US"/>
        </w:rPr>
        <w:t xml:space="preserve"> Form_Eatris_BG.doc</w:t>
      </w:r>
    </w:p>
    <w:p w:rsidR="004B000F" w:rsidRPr="007314EC" w:rsidRDefault="004B000F" w:rsidP="004B000F">
      <w:pPr>
        <w:jc w:val="both"/>
        <w:rPr>
          <w:i/>
          <w:sz w:val="22"/>
          <w:szCs w:val="22"/>
          <w:lang w:val="en-US"/>
        </w:rPr>
      </w:pPr>
    </w:p>
    <w:p w:rsidR="003A0974" w:rsidRPr="007314EC" w:rsidRDefault="003A0974" w:rsidP="009F1346">
      <w:pPr>
        <w:jc w:val="both"/>
        <w:rPr>
          <w:sz w:val="22"/>
          <w:szCs w:val="22"/>
          <w:lang w:val="en-US"/>
        </w:rPr>
      </w:pPr>
    </w:p>
    <w:p w:rsidR="007A1E11" w:rsidRPr="007314EC" w:rsidRDefault="007A1E11" w:rsidP="00A53C32">
      <w:pPr>
        <w:jc w:val="both"/>
        <w:rPr>
          <w:i/>
          <w:sz w:val="22"/>
          <w:szCs w:val="22"/>
          <w:lang w:val="en-US"/>
        </w:rPr>
      </w:pPr>
    </w:p>
    <w:p w:rsidR="00A53C32" w:rsidRPr="007314EC" w:rsidRDefault="00A53C32" w:rsidP="002455E1">
      <w:pPr>
        <w:jc w:val="both"/>
        <w:rPr>
          <w:rStyle w:val="Hyperlink"/>
          <w:i/>
          <w:sz w:val="22"/>
          <w:szCs w:val="22"/>
          <w:lang w:val="en-US"/>
        </w:rPr>
      </w:pPr>
    </w:p>
    <w:p w:rsidR="002455E1" w:rsidRPr="007314EC" w:rsidRDefault="002455E1" w:rsidP="009F1346">
      <w:pPr>
        <w:jc w:val="both"/>
        <w:rPr>
          <w:i/>
          <w:sz w:val="22"/>
          <w:szCs w:val="22"/>
          <w:lang w:val="en-US"/>
        </w:rPr>
      </w:pPr>
    </w:p>
    <w:sectPr w:rsidR="002455E1" w:rsidRPr="007314E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34" w:rsidRDefault="005E7B34" w:rsidP="009B006A">
      <w:pPr>
        <w:spacing w:after="0" w:line="240" w:lineRule="auto"/>
      </w:pPr>
      <w:r>
        <w:separator/>
      </w:r>
    </w:p>
  </w:endnote>
  <w:endnote w:type="continuationSeparator" w:id="0">
    <w:p w:rsidR="005E7B34" w:rsidRDefault="005E7B34" w:rsidP="009B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34" w:rsidRDefault="005E7B34" w:rsidP="009B006A">
      <w:pPr>
        <w:spacing w:after="0" w:line="240" w:lineRule="auto"/>
      </w:pPr>
      <w:r>
        <w:separator/>
      </w:r>
    </w:p>
  </w:footnote>
  <w:footnote w:type="continuationSeparator" w:id="0">
    <w:p w:rsidR="005E7B34" w:rsidRDefault="005E7B34" w:rsidP="009B0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5D1" w:rsidRDefault="00530533">
    <w:pPr>
      <w:pStyle w:val="Header"/>
      <w:rPr>
        <w:b/>
        <w:i/>
        <w:caps/>
        <w:lang w:val="en-US"/>
      </w:rPr>
    </w:pPr>
    <w:r>
      <w:rPr>
        <w:b/>
        <w:i/>
        <w:caps/>
        <w:lang w:val="en-US"/>
      </w:rPr>
      <w:t xml:space="preserve">  </w:t>
    </w:r>
    <w:r w:rsidRPr="005F6AF2">
      <w:rPr>
        <w:b/>
        <w:noProof/>
        <w:lang w:eastAsia="bg-BG"/>
      </w:rPr>
      <w:drawing>
        <wp:inline distT="0" distB="0" distL="0" distR="0" wp14:anchorId="05BC39A5" wp14:editId="20FC317B">
          <wp:extent cx="1441335" cy="422791"/>
          <wp:effectExtent l="0" t="0" r="6985" b="0"/>
          <wp:docPr id="6" name="Picture 6" descr="d:\Users\R-Konakchieva\Desktop\EATRIS_START\Kick-Start\BG EATRIS Node\E_BG\eatris_logo_county_bulgariacc_refer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R-Konakchieva\Desktop\EATRIS_START\Kick-Start\BG EATRIS Node\E_BG\eatris_logo_county_bulgariacc_referenc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16" cy="440884"/>
                  </a:xfrm>
                  <a:prstGeom prst="rect">
                    <a:avLst/>
                  </a:prstGeom>
                  <a:noFill/>
                  <a:ln>
                    <a:noFill/>
                  </a:ln>
                </pic:spPr>
              </pic:pic>
            </a:graphicData>
          </a:graphic>
        </wp:inline>
      </w:drawing>
    </w:r>
    <w:r>
      <w:rPr>
        <w:b/>
        <w:i/>
        <w:caps/>
        <w:lang w:val="en-US"/>
      </w:rPr>
      <w:t xml:space="preserve">      </w:t>
    </w:r>
    <w:r>
      <w:rPr>
        <w:b/>
        <w:i/>
        <w:caps/>
        <w:noProof/>
        <w:lang w:eastAsia="bg-BG"/>
      </w:rPr>
      <w:drawing>
        <wp:inline distT="0" distB="0" distL="0" distR="0" wp14:anchorId="7812EE41" wp14:editId="094B33BF">
          <wp:extent cx="3086100" cy="46786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ОН_Лого.png"/>
                  <pic:cNvPicPr/>
                </pic:nvPicPr>
                <pic:blipFill>
                  <a:blip r:embed="rId2">
                    <a:extLst>
                      <a:ext uri="{28A0092B-C50C-407E-A947-70E740481C1C}">
                        <a14:useLocalDpi xmlns:a14="http://schemas.microsoft.com/office/drawing/2010/main" val="0"/>
                      </a:ext>
                    </a:extLst>
                  </a:blip>
                  <a:stretch>
                    <a:fillRect/>
                  </a:stretch>
                </pic:blipFill>
                <pic:spPr>
                  <a:xfrm>
                    <a:off x="0" y="0"/>
                    <a:ext cx="3161661" cy="479318"/>
                  </a:xfrm>
                  <a:prstGeom prst="rect">
                    <a:avLst/>
                  </a:prstGeom>
                </pic:spPr>
              </pic:pic>
            </a:graphicData>
          </a:graphic>
        </wp:inline>
      </w:drawing>
    </w:r>
    <w:r>
      <w:rPr>
        <w:b/>
        <w:i/>
        <w:caps/>
        <w:lang w:val="en-US"/>
      </w:rPr>
      <w:t xml:space="preserve">            </w:t>
    </w:r>
    <w:r>
      <w:rPr>
        <w:b/>
        <w:i/>
        <w:caps/>
        <w:noProof/>
        <w:lang w:eastAsia="bg-BG"/>
      </w:rPr>
      <w:drawing>
        <wp:inline distT="0" distB="0" distL="0" distR="0" wp14:anchorId="3FF4B532" wp14:editId="29D81735">
          <wp:extent cx="514581" cy="628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_logo_imagelarge.tif"/>
                  <pic:cNvPicPr/>
                </pic:nvPicPr>
                <pic:blipFill>
                  <a:blip r:embed="rId3">
                    <a:extLst>
                      <a:ext uri="{28A0092B-C50C-407E-A947-70E740481C1C}">
                        <a14:useLocalDpi xmlns:a14="http://schemas.microsoft.com/office/drawing/2010/main" val="0"/>
                      </a:ext>
                    </a:extLst>
                  </a:blip>
                  <a:stretch>
                    <a:fillRect/>
                  </a:stretch>
                </pic:blipFill>
                <pic:spPr>
                  <a:xfrm>
                    <a:off x="0" y="0"/>
                    <a:ext cx="551557" cy="673822"/>
                  </a:xfrm>
                  <a:prstGeom prst="rect">
                    <a:avLst/>
                  </a:prstGeom>
                </pic:spPr>
              </pic:pic>
            </a:graphicData>
          </a:graphic>
        </wp:inline>
      </w:drawing>
    </w:r>
    <w:r>
      <w:rPr>
        <w:b/>
        <w:i/>
        <w:caps/>
        <w:lang w:val="en-US"/>
      </w:rPr>
      <w:t xml:space="preserve"> </w:t>
    </w:r>
  </w:p>
  <w:p w:rsidR="008E6F6B" w:rsidRPr="00530533" w:rsidRDefault="00530533">
    <w:pPr>
      <w:pStyle w:val="Header"/>
      <w:rPr>
        <w:b/>
        <w:noProof/>
        <w:lang w:eastAsia="bg-BG"/>
      </w:rPr>
    </w:pPr>
    <w:r>
      <w:rPr>
        <w:b/>
        <w:i/>
        <w:caps/>
        <w:lang w:val="en-US"/>
      </w:rPr>
      <w:t xml:space="preserve">   </w:t>
    </w:r>
    <w:r>
      <w:rPr>
        <w:b/>
        <w:noProof/>
        <w:lang w:val="en-US" w:eastAsia="bg-BG"/>
      </w:rPr>
      <w:t xml:space="preserve">          </w:t>
    </w:r>
    <w:r w:rsidRPr="00530533">
      <w:rPr>
        <w:b/>
        <w:i/>
        <w:caps/>
        <w:noProof/>
        <w:lang w:eastAsia="bg-BG"/>
      </w:rPr>
      <w:t xml:space="preserve"> </w:t>
    </w:r>
  </w:p>
  <w:p w:rsidR="00613DF1" w:rsidRPr="004B000F" w:rsidRDefault="008F490D" w:rsidP="008E6F6B">
    <w:pPr>
      <w:pStyle w:val="Header"/>
      <w:jc w:val="center"/>
      <w:rPr>
        <w:b/>
        <w:i/>
        <w:caps/>
        <w:color w:val="44546A" w:themeColor="text2"/>
        <w:lang w:val="en-US"/>
      </w:rPr>
    </w:pPr>
    <w:r w:rsidRPr="004B000F">
      <w:rPr>
        <w:b/>
        <w:i/>
        <w:caps/>
        <w:color w:val="44546A" w:themeColor="text2"/>
        <w:lang w:val="en-US"/>
      </w:rPr>
      <w:t>EATRIS-</w:t>
    </w:r>
    <w:r w:rsidR="009B006A" w:rsidRPr="004B000F">
      <w:rPr>
        <w:b/>
        <w:i/>
        <w:caps/>
        <w:color w:val="44546A" w:themeColor="text2"/>
        <w:lang w:val="en-US"/>
      </w:rPr>
      <w:t>B</w:t>
    </w:r>
    <w:r w:rsidR="00C85223" w:rsidRPr="004B000F">
      <w:rPr>
        <w:b/>
        <w:i/>
        <w:color w:val="44546A" w:themeColor="text2"/>
        <w:lang w:val="en-US"/>
      </w:rPr>
      <w:t>ulgaria</w:t>
    </w:r>
    <w:r w:rsidR="009B006A" w:rsidRPr="004B000F">
      <w:rPr>
        <w:b/>
        <w:i/>
        <w:caps/>
        <w:color w:val="44546A" w:themeColor="text2"/>
        <w:lang w:val="en-US"/>
      </w:rPr>
      <w:t xml:space="preserve"> -  </w:t>
    </w:r>
    <w:r w:rsidRPr="004B000F">
      <w:rPr>
        <w:b/>
        <w:i/>
        <w:color w:val="44546A" w:themeColor="text2"/>
        <w:lang w:val="en-US"/>
      </w:rPr>
      <w:t>National Node</w:t>
    </w:r>
    <w:r w:rsidR="009B006A" w:rsidRPr="004B000F">
      <w:rPr>
        <w:b/>
        <w:i/>
        <w:color w:val="44546A" w:themeColor="text2"/>
        <w:lang w:val="en-US"/>
      </w:rPr>
      <w:t xml:space="preserve"> of </w:t>
    </w:r>
    <w:r w:rsidR="009B006A" w:rsidRPr="004B000F">
      <w:rPr>
        <w:b/>
        <w:i/>
        <w:caps/>
        <w:color w:val="44546A" w:themeColor="text2"/>
        <w:lang w:val="en-US"/>
      </w:rPr>
      <w:t>EATRIS-ERIC</w:t>
    </w:r>
    <w:r w:rsidR="00530533" w:rsidRPr="004B000F">
      <w:rPr>
        <w:b/>
        <w:i/>
        <w:caps/>
        <w:color w:val="44546A" w:themeColor="text2"/>
        <w:lang w:val="en-US"/>
      </w:rPr>
      <w:t xml:space="preserve">    </w:t>
    </w:r>
  </w:p>
  <w:p w:rsidR="009B006A" w:rsidRDefault="009B00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19"/>
    <w:rsid w:val="00022FA9"/>
    <w:rsid w:val="00023257"/>
    <w:rsid w:val="00164E64"/>
    <w:rsid w:val="00164FCD"/>
    <w:rsid w:val="0019012C"/>
    <w:rsid w:val="001D3BFC"/>
    <w:rsid w:val="002144A2"/>
    <w:rsid w:val="002455E1"/>
    <w:rsid w:val="002A7E9D"/>
    <w:rsid w:val="00312311"/>
    <w:rsid w:val="003939E5"/>
    <w:rsid w:val="003A0974"/>
    <w:rsid w:val="003B5F83"/>
    <w:rsid w:val="00452B72"/>
    <w:rsid w:val="004B000F"/>
    <w:rsid w:val="00530533"/>
    <w:rsid w:val="00563DD2"/>
    <w:rsid w:val="005646AE"/>
    <w:rsid w:val="005A2E36"/>
    <w:rsid w:val="005E7B34"/>
    <w:rsid w:val="005F27EF"/>
    <w:rsid w:val="00613DF1"/>
    <w:rsid w:val="00633E98"/>
    <w:rsid w:val="0069589B"/>
    <w:rsid w:val="00696177"/>
    <w:rsid w:val="0069748E"/>
    <w:rsid w:val="006E6D75"/>
    <w:rsid w:val="007111D9"/>
    <w:rsid w:val="00716EBE"/>
    <w:rsid w:val="007314EC"/>
    <w:rsid w:val="00761FB4"/>
    <w:rsid w:val="00767F0E"/>
    <w:rsid w:val="007750F9"/>
    <w:rsid w:val="007A1E11"/>
    <w:rsid w:val="0085196E"/>
    <w:rsid w:val="00866AA7"/>
    <w:rsid w:val="008E6F6B"/>
    <w:rsid w:val="008F490D"/>
    <w:rsid w:val="009B006A"/>
    <w:rsid w:val="009C3B15"/>
    <w:rsid w:val="009F1346"/>
    <w:rsid w:val="009F3683"/>
    <w:rsid w:val="00A2451A"/>
    <w:rsid w:val="00A53C32"/>
    <w:rsid w:val="00A97A9D"/>
    <w:rsid w:val="00AC728A"/>
    <w:rsid w:val="00AF7DC1"/>
    <w:rsid w:val="00B75547"/>
    <w:rsid w:val="00B76197"/>
    <w:rsid w:val="00C435CE"/>
    <w:rsid w:val="00C85223"/>
    <w:rsid w:val="00D85639"/>
    <w:rsid w:val="00DB7D19"/>
    <w:rsid w:val="00DF15D1"/>
    <w:rsid w:val="00E3417F"/>
    <w:rsid w:val="00EE1A74"/>
    <w:rsid w:val="00EE2199"/>
    <w:rsid w:val="00F45F5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7F59CA-8CB2-46D0-97C2-10E85977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bg-BG"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199"/>
  </w:style>
  <w:style w:type="paragraph" w:styleId="Heading1">
    <w:name w:val="heading 1"/>
    <w:basedOn w:val="Normal"/>
    <w:next w:val="Normal"/>
    <w:link w:val="Heading1Char"/>
    <w:uiPriority w:val="9"/>
    <w:qFormat/>
    <w:rsid w:val="00EE2199"/>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EE2199"/>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EE2199"/>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EE2199"/>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EE2199"/>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EE2199"/>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EE2199"/>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E2199"/>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EE2199"/>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199"/>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EE2199"/>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EE2199"/>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EE2199"/>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EE2199"/>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EE2199"/>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EE2199"/>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EE2199"/>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EE2199"/>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EE2199"/>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EE2199"/>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EE2199"/>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EE2199"/>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EE2199"/>
    <w:rPr>
      <w:color w:val="000000" w:themeColor="text1"/>
      <w:sz w:val="24"/>
      <w:szCs w:val="24"/>
    </w:rPr>
  </w:style>
  <w:style w:type="character" w:styleId="Strong">
    <w:name w:val="Strong"/>
    <w:basedOn w:val="DefaultParagraphFont"/>
    <w:uiPriority w:val="22"/>
    <w:qFormat/>
    <w:rsid w:val="00EE2199"/>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EE2199"/>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EE2199"/>
    <w:pPr>
      <w:spacing w:after="0" w:line="240" w:lineRule="auto"/>
    </w:pPr>
  </w:style>
  <w:style w:type="paragraph" w:styleId="Quote">
    <w:name w:val="Quote"/>
    <w:basedOn w:val="Normal"/>
    <w:next w:val="Normal"/>
    <w:link w:val="QuoteChar"/>
    <w:uiPriority w:val="29"/>
    <w:qFormat/>
    <w:rsid w:val="00EE2199"/>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EE2199"/>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EE2199"/>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EE2199"/>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EE2199"/>
    <w:rPr>
      <w:i/>
      <w:iCs/>
      <w:color w:val="auto"/>
    </w:rPr>
  </w:style>
  <w:style w:type="character" w:styleId="IntenseEmphasis">
    <w:name w:val="Intense Emphasis"/>
    <w:basedOn w:val="DefaultParagraphFont"/>
    <w:uiPriority w:val="21"/>
    <w:qFormat/>
    <w:rsid w:val="00EE219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EE219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EE219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EE2199"/>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EE2199"/>
    <w:pPr>
      <w:outlineLvl w:val="9"/>
    </w:pPr>
  </w:style>
  <w:style w:type="character" w:styleId="Hyperlink">
    <w:name w:val="Hyperlink"/>
    <w:basedOn w:val="DefaultParagraphFont"/>
    <w:uiPriority w:val="99"/>
    <w:unhideWhenUsed/>
    <w:rsid w:val="00B76197"/>
    <w:rPr>
      <w:color w:val="0563C1" w:themeColor="hyperlink"/>
      <w:u w:val="single"/>
    </w:rPr>
  </w:style>
  <w:style w:type="character" w:styleId="FollowedHyperlink">
    <w:name w:val="FollowedHyperlink"/>
    <w:basedOn w:val="DefaultParagraphFont"/>
    <w:uiPriority w:val="99"/>
    <w:semiHidden/>
    <w:unhideWhenUsed/>
    <w:rsid w:val="00B76197"/>
    <w:rPr>
      <w:color w:val="954F72" w:themeColor="followedHyperlink"/>
      <w:u w:val="single"/>
    </w:rPr>
  </w:style>
  <w:style w:type="paragraph" w:styleId="Header">
    <w:name w:val="header"/>
    <w:basedOn w:val="Normal"/>
    <w:link w:val="HeaderChar"/>
    <w:uiPriority w:val="99"/>
    <w:unhideWhenUsed/>
    <w:rsid w:val="009B006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B006A"/>
  </w:style>
  <w:style w:type="paragraph" w:styleId="Footer">
    <w:name w:val="footer"/>
    <w:basedOn w:val="Normal"/>
    <w:link w:val="FooterChar"/>
    <w:uiPriority w:val="99"/>
    <w:unhideWhenUsed/>
    <w:rsid w:val="009B00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konakchieva@biofac.uni-sofia.b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tris.eu/insights/?country=1277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t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R-Konakchieva</dc:creator>
  <cp:keywords/>
  <dc:description/>
  <cp:lastModifiedBy>R-Konakchieva</cp:lastModifiedBy>
  <cp:revision>3</cp:revision>
  <cp:lastPrinted>2020-02-07T20:00:00Z</cp:lastPrinted>
  <dcterms:created xsi:type="dcterms:W3CDTF">2020-02-17T17:39:00Z</dcterms:created>
  <dcterms:modified xsi:type="dcterms:W3CDTF">2020-02-17T17:53:00Z</dcterms:modified>
</cp:coreProperties>
</file>